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67EFC661" w14:textId="2426D7B4" w:rsidR="00E3542B" w:rsidRPr="0021009F" w:rsidRDefault="0021009F" w:rsidP="00E3542B">
      <w:pPr>
        <w:rPr>
          <w:rFonts w:ascii="Times New Roman" w:hAnsi="Times New Roman" w:cs="Times New Roman"/>
          <w:b/>
        </w:rPr>
      </w:pPr>
      <w:r w:rsidRPr="0021009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5356552" wp14:editId="0400F308">
            <wp:simplePos x="0" y="0"/>
            <wp:positionH relativeFrom="column">
              <wp:posOffset>5112097</wp:posOffset>
            </wp:positionH>
            <wp:positionV relativeFrom="paragraph">
              <wp:posOffset>120</wp:posOffset>
            </wp:positionV>
            <wp:extent cx="900332" cy="900332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32" cy="90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277C6" w14:textId="77777777" w:rsidR="0021009F" w:rsidRDefault="0021009F" w:rsidP="00E3542B">
      <w:pPr>
        <w:rPr>
          <w:rFonts w:ascii="Times New Roman" w:hAnsi="Times New Roman" w:cs="Times New Roman"/>
          <w:b/>
        </w:rPr>
      </w:pPr>
    </w:p>
    <w:p w14:paraId="3902C5D0" w14:textId="67FDC604" w:rsidR="0021009F" w:rsidRDefault="00FC2831" w:rsidP="00E3542B">
      <w:pPr>
        <w:rPr>
          <w:rFonts w:ascii="Times New Roman" w:hAnsi="Times New Roman" w:cs="Times New Roman"/>
          <w:b/>
        </w:rPr>
      </w:pPr>
      <w:r w:rsidRPr="0021009F">
        <w:rPr>
          <w:rFonts w:ascii="Times New Roman" w:hAnsi="Times New Roman" w:cs="Times New Roman"/>
          <w:b/>
        </w:rPr>
        <w:t>Olivier</w:t>
      </w:r>
      <w:r w:rsidR="009A089A" w:rsidRPr="0021009F">
        <w:rPr>
          <w:rFonts w:ascii="Times New Roman" w:hAnsi="Times New Roman" w:cs="Times New Roman"/>
          <w:b/>
        </w:rPr>
        <w:t xml:space="preserve"> </w:t>
      </w:r>
      <w:r w:rsidRPr="0021009F">
        <w:rPr>
          <w:rFonts w:ascii="Times New Roman" w:hAnsi="Times New Roman" w:cs="Times New Roman"/>
          <w:b/>
        </w:rPr>
        <w:t>BLOND-RZEWUSKI</w:t>
      </w:r>
      <w:r w:rsidR="00E3542B" w:rsidRPr="0021009F">
        <w:rPr>
          <w:rFonts w:ascii="Times New Roman" w:hAnsi="Times New Roman" w:cs="Times New Roman"/>
          <w:b/>
        </w:rPr>
        <w:t xml:space="preserve">     </w:t>
      </w:r>
    </w:p>
    <w:p w14:paraId="4AFD3008" w14:textId="77777777" w:rsidR="0021009F" w:rsidRDefault="0021009F" w:rsidP="00E3542B">
      <w:pPr>
        <w:rPr>
          <w:rFonts w:ascii="Times New Roman" w:hAnsi="Times New Roman" w:cs="Times New Roman"/>
          <w:b/>
        </w:rPr>
      </w:pPr>
    </w:p>
    <w:p w14:paraId="6147655D" w14:textId="012DDAC1" w:rsidR="009A089A" w:rsidRPr="0021009F" w:rsidRDefault="00E3542B" w:rsidP="0021009F">
      <w:pPr>
        <w:rPr>
          <w:rFonts w:ascii="Times New Roman" w:hAnsi="Times New Roman" w:cs="Times New Roman"/>
          <w:b/>
        </w:rPr>
      </w:pPr>
      <w:r w:rsidRPr="0021009F">
        <w:rPr>
          <w:rFonts w:ascii="Times New Roman" w:hAnsi="Times New Roman" w:cs="Times New Roman"/>
          <w:b/>
        </w:rPr>
        <w:t xml:space="preserve">                                           </w:t>
      </w:r>
    </w:p>
    <w:p w14:paraId="0B0890CE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21009F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21009F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62A7F784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60CF6422" w14:textId="54F37B8F" w:rsidR="00EF09B7" w:rsidRPr="0021009F" w:rsidRDefault="00EF09B7" w:rsidP="009A089A">
      <w:pPr>
        <w:jc w:val="both"/>
        <w:rPr>
          <w:rFonts w:ascii="Times New Roman" w:hAnsi="Times New Roman" w:cs="Times New Roman"/>
          <w:b/>
          <w:bCs/>
        </w:rPr>
      </w:pPr>
      <w:r w:rsidRPr="0021009F">
        <w:rPr>
          <w:rFonts w:ascii="Times New Roman" w:hAnsi="Times New Roman" w:cs="Times New Roman"/>
        </w:rPr>
        <w:t xml:space="preserve">Statut et </w:t>
      </w:r>
      <w:r w:rsidR="005E6B20" w:rsidRPr="0021009F">
        <w:rPr>
          <w:rFonts w:ascii="Times New Roman" w:hAnsi="Times New Roman" w:cs="Times New Roman"/>
        </w:rPr>
        <w:t>diplômes</w:t>
      </w:r>
      <w:r w:rsidR="00FC2831" w:rsidRPr="0021009F">
        <w:rPr>
          <w:rFonts w:ascii="Times New Roman" w:hAnsi="Times New Roman" w:cs="Times New Roman"/>
        </w:rPr>
        <w:t xml:space="preserve"> : </w:t>
      </w:r>
      <w:r w:rsidR="00FC2831" w:rsidRPr="0021009F">
        <w:rPr>
          <w:rFonts w:ascii="Times New Roman" w:hAnsi="Times New Roman" w:cs="Times New Roman"/>
          <w:b/>
          <w:bCs/>
        </w:rPr>
        <w:t xml:space="preserve">Enseignant à l’INSPE, docteur en sciences de l’éducation, titulaire d’un </w:t>
      </w:r>
      <w:r w:rsidR="00791749" w:rsidRPr="0021009F">
        <w:rPr>
          <w:rFonts w:ascii="Times New Roman" w:hAnsi="Times New Roman" w:cs="Times New Roman"/>
          <w:b/>
          <w:bCs/>
        </w:rPr>
        <w:t>DEA de philosophie des mathématiques.</w:t>
      </w:r>
    </w:p>
    <w:p w14:paraId="0F415CBF" w14:textId="77777777" w:rsidR="00EF09B7" w:rsidRPr="0021009F" w:rsidRDefault="00EF09B7" w:rsidP="009A089A">
      <w:pPr>
        <w:jc w:val="both"/>
        <w:rPr>
          <w:rFonts w:ascii="Times New Roman" w:hAnsi="Times New Roman" w:cs="Times New Roman"/>
        </w:rPr>
      </w:pPr>
    </w:p>
    <w:p w14:paraId="598FD08B" w14:textId="06990ABB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  <w:r w:rsidRPr="0021009F">
        <w:rPr>
          <w:rFonts w:ascii="Times New Roman" w:hAnsi="Times New Roman" w:cs="Times New Roman"/>
        </w:rPr>
        <w:t>Établissement d’enseignement supérieur</w:t>
      </w:r>
      <w:r w:rsidR="00791749" w:rsidRPr="0021009F">
        <w:rPr>
          <w:rFonts w:ascii="Times New Roman" w:hAnsi="Times New Roman" w:cs="Times New Roman"/>
        </w:rPr>
        <w:t xml:space="preserve"> : </w:t>
      </w:r>
      <w:r w:rsidR="00791749" w:rsidRPr="0021009F">
        <w:rPr>
          <w:rFonts w:ascii="Times New Roman" w:hAnsi="Times New Roman" w:cs="Times New Roman"/>
          <w:b/>
          <w:bCs/>
        </w:rPr>
        <w:t>Nantes Université</w:t>
      </w:r>
      <w:r w:rsidR="00791749" w:rsidRPr="0021009F">
        <w:rPr>
          <w:rFonts w:ascii="Times New Roman" w:hAnsi="Times New Roman" w:cs="Times New Roman"/>
        </w:rPr>
        <w:t>.</w:t>
      </w:r>
    </w:p>
    <w:p w14:paraId="7D40576F" w14:textId="77777777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</w:p>
    <w:p w14:paraId="28672F97" w14:textId="062D98C9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  <w:r w:rsidRPr="0021009F">
        <w:rPr>
          <w:rFonts w:ascii="Times New Roman" w:hAnsi="Times New Roman" w:cs="Times New Roman"/>
        </w:rPr>
        <w:t>Laboratoire</w:t>
      </w:r>
      <w:r w:rsidR="00791749" w:rsidRPr="0021009F">
        <w:rPr>
          <w:rFonts w:ascii="Times New Roman" w:hAnsi="Times New Roman" w:cs="Times New Roman"/>
        </w:rPr>
        <w:t xml:space="preserve"> : </w:t>
      </w:r>
      <w:r w:rsidR="00791749" w:rsidRPr="0021009F">
        <w:rPr>
          <w:rFonts w:ascii="Times New Roman" w:hAnsi="Times New Roman" w:cs="Times New Roman"/>
          <w:b/>
          <w:bCs/>
        </w:rPr>
        <w:t>CREN</w:t>
      </w:r>
    </w:p>
    <w:p w14:paraId="19998DD9" w14:textId="77777777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</w:p>
    <w:p w14:paraId="32E37714" w14:textId="628F898E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  <w:r w:rsidRPr="0021009F">
        <w:rPr>
          <w:rFonts w:ascii="Times New Roman" w:hAnsi="Times New Roman" w:cs="Times New Roman"/>
        </w:rPr>
        <w:t>Associations</w:t>
      </w:r>
      <w:r w:rsidR="00E877F6" w:rsidRPr="0021009F">
        <w:rPr>
          <w:rFonts w:ascii="Times New Roman" w:hAnsi="Times New Roman" w:cs="Times New Roman"/>
        </w:rPr>
        <w:t xml:space="preserve"> : </w:t>
      </w:r>
      <w:r w:rsidR="00E877F6" w:rsidRPr="0021009F">
        <w:rPr>
          <w:rFonts w:ascii="Times New Roman" w:hAnsi="Times New Roman" w:cs="Times New Roman"/>
          <w:b/>
          <w:bCs/>
        </w:rPr>
        <w:t>D-Phi, Université Laval</w:t>
      </w:r>
    </w:p>
    <w:p w14:paraId="5B5C0B69" w14:textId="77777777" w:rsidR="009A089A" w:rsidRPr="0021009F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52EB07B" w14:textId="1B58DAFA" w:rsidR="00862C52" w:rsidRPr="0021009F" w:rsidRDefault="00862C52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21009F">
        <w:rPr>
          <w:rFonts w:ascii="Times New Roman" w:hAnsi="Times New Roman" w:cs="Times New Roman"/>
          <w:i/>
          <w:color w:val="000000" w:themeColor="text1"/>
        </w:rPr>
        <w:t>Lien vers le CV développé</w:t>
      </w:r>
      <w:r w:rsidR="00E877F6" w:rsidRPr="0021009F">
        <w:rPr>
          <w:rFonts w:ascii="Times New Roman" w:hAnsi="Times New Roman" w:cs="Times New Roman"/>
          <w:i/>
          <w:color w:val="000000" w:themeColor="text1"/>
        </w:rPr>
        <w:t xml:space="preserve"> : </w:t>
      </w:r>
      <w:hyperlink r:id="rId7" w:history="1">
        <w:r w:rsidR="00E877F6" w:rsidRPr="0021009F">
          <w:rPr>
            <w:rStyle w:val="Lienhypertexte"/>
            <w:rFonts w:ascii="Times New Roman" w:hAnsi="Times New Roman" w:cs="Times New Roman"/>
            <w:i/>
          </w:rPr>
          <w:t>https://cv.hal.science/blond-rzewuski-olivier</w:t>
        </w:r>
      </w:hyperlink>
      <w:r w:rsidR="00E877F6" w:rsidRPr="0021009F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1B3549C2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665B60AE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21009F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21009F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5A98DECF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35A87EBF" w14:textId="565BFEDC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  <w:r w:rsidRPr="0021009F">
        <w:rPr>
          <w:rFonts w:ascii="Times New Roman" w:hAnsi="Times New Roman" w:cs="Times New Roman"/>
        </w:rPr>
        <w:t>Thèmes</w:t>
      </w:r>
      <w:r w:rsidR="00E877F6" w:rsidRPr="0021009F">
        <w:rPr>
          <w:rFonts w:ascii="Times New Roman" w:hAnsi="Times New Roman" w:cs="Times New Roman"/>
        </w:rPr>
        <w:t xml:space="preserve"> : </w:t>
      </w:r>
      <w:r w:rsidR="00E877F6" w:rsidRPr="0021009F">
        <w:rPr>
          <w:rFonts w:ascii="Times New Roman" w:hAnsi="Times New Roman" w:cs="Times New Roman"/>
          <w:b/>
          <w:bCs/>
        </w:rPr>
        <w:t>didactique de la philosophie ; didactique de l’écriture ; démocratisation de la philosophie</w:t>
      </w:r>
    </w:p>
    <w:p w14:paraId="1C132D2C" w14:textId="77777777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</w:p>
    <w:p w14:paraId="26B8A4E9" w14:textId="5EC3795E" w:rsidR="009A089A" w:rsidRPr="0021009F" w:rsidRDefault="009A089A" w:rsidP="009A089A">
      <w:pPr>
        <w:jc w:val="both"/>
        <w:rPr>
          <w:rFonts w:ascii="Times New Roman" w:hAnsi="Times New Roman" w:cs="Times New Roman"/>
          <w:b/>
          <w:bCs/>
        </w:rPr>
      </w:pPr>
      <w:r w:rsidRPr="0021009F">
        <w:rPr>
          <w:rFonts w:ascii="Times New Roman" w:hAnsi="Times New Roman" w:cs="Times New Roman"/>
        </w:rPr>
        <w:t>Objets</w:t>
      </w:r>
      <w:r w:rsidR="00E877F6" w:rsidRPr="0021009F">
        <w:rPr>
          <w:rFonts w:ascii="Times New Roman" w:hAnsi="Times New Roman" w:cs="Times New Roman"/>
        </w:rPr>
        <w:t xml:space="preserve"> : </w:t>
      </w:r>
      <w:r w:rsidR="00A07E4E" w:rsidRPr="0021009F">
        <w:rPr>
          <w:rFonts w:ascii="Times New Roman" w:hAnsi="Times New Roman" w:cs="Times New Roman"/>
          <w:b/>
          <w:bCs/>
        </w:rPr>
        <w:t>l’enseignement de l’écriture philosophique</w:t>
      </w:r>
    </w:p>
    <w:p w14:paraId="149B53C4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25E946DE" w14:textId="1ACF0BDC" w:rsidR="009A089A" w:rsidRPr="0021009F" w:rsidRDefault="009A089A" w:rsidP="009A089A">
      <w:pPr>
        <w:jc w:val="both"/>
        <w:rPr>
          <w:rFonts w:ascii="Times New Roman" w:hAnsi="Times New Roman" w:cs="Times New Roman"/>
        </w:rPr>
      </w:pPr>
      <w:r w:rsidRPr="0021009F">
        <w:rPr>
          <w:rFonts w:ascii="Times New Roman" w:hAnsi="Times New Roman" w:cs="Times New Roman"/>
        </w:rPr>
        <w:t>Cadres théoriques</w:t>
      </w:r>
      <w:r w:rsidR="00A07E4E" w:rsidRPr="0021009F">
        <w:rPr>
          <w:rFonts w:ascii="Times New Roman" w:hAnsi="Times New Roman" w:cs="Times New Roman"/>
        </w:rPr>
        <w:t xml:space="preserve"> : didactique de l’écriture (Bucheton, Hubert) / didactique de la philosophie (Lipman, </w:t>
      </w:r>
      <w:proofErr w:type="spellStart"/>
      <w:r w:rsidR="00A07E4E" w:rsidRPr="0021009F">
        <w:rPr>
          <w:rFonts w:ascii="Times New Roman" w:hAnsi="Times New Roman" w:cs="Times New Roman"/>
        </w:rPr>
        <w:t>Tozzi</w:t>
      </w:r>
      <w:proofErr w:type="spellEnd"/>
      <w:r w:rsidR="00A07E4E" w:rsidRPr="0021009F">
        <w:rPr>
          <w:rFonts w:ascii="Times New Roman" w:hAnsi="Times New Roman" w:cs="Times New Roman"/>
        </w:rPr>
        <w:t>, Gagnon, Chirouter) / sociologie de l’éducation (ESCOL)</w:t>
      </w:r>
    </w:p>
    <w:p w14:paraId="3FAC6FB0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55458432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21009F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21009F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100A3B18" w14:textId="77777777" w:rsidR="0021009F" w:rsidRPr="0021009F" w:rsidRDefault="0021009F" w:rsidP="0021009F">
      <w:pPr>
        <w:pStyle w:val="Sansinterligne"/>
        <w:ind w:left="284" w:hanging="284"/>
        <w:rPr>
          <w:rFonts w:eastAsia="Arial Unicode MS"/>
          <w:kern w:val="1"/>
          <w:sz w:val="22"/>
          <w:szCs w:val="22"/>
          <w:lang w:val="fr-FR" w:eastAsia="hi-IN" w:bidi="hi-IN"/>
        </w:rPr>
      </w:pPr>
    </w:p>
    <w:p w14:paraId="02BAD24C" w14:textId="5203E074" w:rsidR="0021009F" w:rsidRPr="0021009F" w:rsidRDefault="0021009F" w:rsidP="0021009F">
      <w:pPr>
        <w:pStyle w:val="Sansinterligne"/>
        <w:ind w:left="284" w:hanging="284"/>
        <w:rPr>
          <w:rFonts w:eastAsia="Arial Unicode MS"/>
          <w:kern w:val="1"/>
          <w:sz w:val="22"/>
          <w:szCs w:val="22"/>
          <w:lang w:val="fr-FR" w:eastAsia="hi-IN" w:bidi="hi-IN"/>
        </w:rPr>
      </w:pP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>Blond-Rzewuski, O. (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>2025</w:t>
      </w: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>).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 xml:space="preserve"> </w:t>
      </w:r>
      <w:r w:rsidRPr="0021009F">
        <w:rPr>
          <w:rFonts w:eastAsia="Arial Unicode MS"/>
          <w:i/>
          <w:iCs/>
          <w:kern w:val="1"/>
          <w:sz w:val="22"/>
          <w:szCs w:val="22"/>
          <w:lang w:val="fr-FR" w:eastAsia="hi-IN" w:bidi="hi-IN"/>
        </w:rPr>
        <w:t>L’enseignement de l’écriture philosophique au cycle 3 : enjeux et conditions de possibilité dans le cadre d’une recherche collaborative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>. [Thèse de doctorat, Nantes Université].</w:t>
      </w:r>
    </w:p>
    <w:p w14:paraId="54224D74" w14:textId="77777777" w:rsidR="0021009F" w:rsidRPr="0021009F" w:rsidRDefault="0021009F" w:rsidP="0021009F">
      <w:p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Blond-Rzewuski, O. et Renard, C. (2023). La philosophie au service de l’enseignement - apprentissage de l’écriture et l’écriture au service de l’enseignement - apprentissage de la philosophie, au cycle 3.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Repères, 67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, 99-115. </w:t>
      </w:r>
      <w:hyperlink r:id="rId8" w:history="1">
        <w:r w:rsidRPr="0021009F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https://doi.org/10.4000/reperes.5741</w:t>
        </w:r>
      </w:hyperlink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43023C8D" w14:textId="77777777" w:rsidR="0021009F" w:rsidRPr="0021009F" w:rsidRDefault="0021009F" w:rsidP="0021009F">
      <w:p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Blond-Rzewuski, O. (2021). Écrire dans le cadre d'ateliers philosophiques avec des élèves de cycle 3. Le cas de la problématisation.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Recherches en éducation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45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, 82-96. </w:t>
      </w:r>
      <w:hyperlink r:id="rId9" w:history="1">
        <w:r w:rsidRPr="0021009F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https://doi.org/10.4000/ree.9465</w:t>
        </w:r>
      </w:hyperlink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47D9BCCC" w14:textId="77777777" w:rsidR="0021009F" w:rsidRPr="0021009F" w:rsidRDefault="0021009F" w:rsidP="0021009F">
      <w:pPr>
        <w:ind w:left="284" w:hanging="284"/>
        <w:rPr>
          <w:rFonts w:ascii="Times New Roman" w:hAnsi="Times New Roman" w:cs="Times New Roman"/>
        </w:rPr>
      </w:pP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Blond-Rzewuski, O. (2019). L’intérêt de la DVP pour (re)donner du sens aux apprentissages.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Éducation et socialisation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53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. </w:t>
      </w:r>
      <w:hyperlink r:id="rId10" w:history="1">
        <w:r w:rsidRPr="0021009F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https://doi.org/10.4000/edso.7190</w:t>
        </w:r>
      </w:hyperlink>
      <w:r w:rsidRPr="0021009F">
        <w:rPr>
          <w:rFonts w:ascii="Times New Roman" w:eastAsia="Calibri" w:hAnsi="Times New Roman" w:cs="Times New Roman"/>
        </w:rPr>
        <w:t xml:space="preserve"> </w:t>
      </w:r>
    </w:p>
    <w:p w14:paraId="11479CA1" w14:textId="2B85E6F1" w:rsidR="0021009F" w:rsidRPr="0021009F" w:rsidRDefault="0021009F" w:rsidP="0021009F">
      <w:p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1009F">
        <w:rPr>
          <w:rFonts w:ascii="Times New Roman" w:hAnsi="Times New Roman" w:cs="Times New Roman"/>
          <w:sz w:val="22"/>
          <w:szCs w:val="22"/>
        </w:rPr>
        <w:t>Blond-Rzewuski, O. (</w:t>
      </w:r>
      <w:proofErr w:type="spellStart"/>
      <w:r w:rsidRPr="0021009F">
        <w:rPr>
          <w:rFonts w:ascii="Times New Roman" w:hAnsi="Times New Roman" w:cs="Times New Roman"/>
          <w:sz w:val="22"/>
          <w:szCs w:val="22"/>
        </w:rPr>
        <w:t>dir</w:t>
      </w:r>
      <w:proofErr w:type="spellEnd"/>
      <w:r w:rsidRPr="0021009F">
        <w:rPr>
          <w:rFonts w:ascii="Times New Roman" w:hAnsi="Times New Roman" w:cs="Times New Roman"/>
          <w:sz w:val="22"/>
          <w:szCs w:val="22"/>
        </w:rPr>
        <w:t xml:space="preserve">.) (2018). </w:t>
      </w:r>
      <w:r w:rsidRPr="0021009F">
        <w:rPr>
          <w:rFonts w:ascii="Times New Roman" w:hAnsi="Times New Roman" w:cs="Times New Roman"/>
          <w:i/>
          <w:iCs/>
          <w:sz w:val="22"/>
          <w:szCs w:val="22"/>
        </w:rPr>
        <w:t>Pourquoi et comment philosopher avec des enfants ?</w:t>
      </w:r>
      <w:r w:rsidRPr="0021009F">
        <w:rPr>
          <w:rFonts w:ascii="Times New Roman" w:hAnsi="Times New Roman" w:cs="Times New Roman"/>
          <w:sz w:val="22"/>
          <w:szCs w:val="22"/>
        </w:rPr>
        <w:t xml:space="preserve"> Hatier.</w:t>
      </w:r>
    </w:p>
    <w:p w14:paraId="4FD6B862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7B6C645C" w14:textId="77777777" w:rsidR="009A089A" w:rsidRPr="0021009F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21009F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14:paraId="6B07A112" w14:textId="77777777" w:rsidR="0021009F" w:rsidRDefault="0021009F" w:rsidP="0021009F">
      <w:pPr>
        <w:pStyle w:val="Sansinterligne"/>
        <w:ind w:left="284" w:hanging="284"/>
        <w:rPr>
          <w:rFonts w:eastAsia="Arial Unicode MS"/>
          <w:kern w:val="1"/>
          <w:sz w:val="22"/>
          <w:szCs w:val="22"/>
          <w:lang w:val="fr-FR" w:eastAsia="hi-IN" w:bidi="hi-IN"/>
        </w:rPr>
      </w:pPr>
    </w:p>
    <w:p w14:paraId="69CEE1C2" w14:textId="72ACD22B" w:rsidR="0021009F" w:rsidRPr="0021009F" w:rsidRDefault="0021009F" w:rsidP="0021009F">
      <w:pPr>
        <w:pStyle w:val="Sansinterligne"/>
        <w:ind w:left="284" w:hanging="284"/>
        <w:rPr>
          <w:rFonts w:eastAsia="Arial Unicode MS"/>
          <w:kern w:val="1"/>
          <w:sz w:val="22"/>
          <w:szCs w:val="22"/>
          <w:lang w:val="fr-FR" w:eastAsia="hi-IN" w:bidi="hi-IN"/>
        </w:rPr>
      </w:pP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 xml:space="preserve">Blond-Rzewuski, O. (soumis, 2027). L’écriture philosophique au service d’une mutation du rapport à l’écriture des enseignants. </w:t>
      </w:r>
      <w:r w:rsidRPr="0021009F">
        <w:rPr>
          <w:rFonts w:eastAsia="Arial Unicode MS"/>
          <w:i/>
          <w:iCs/>
          <w:kern w:val="1"/>
          <w:sz w:val="22"/>
          <w:szCs w:val="22"/>
          <w:lang w:val="fr-FR" w:eastAsia="hi-IN" w:bidi="hi-IN"/>
        </w:rPr>
        <w:t>Recherches en éducation, 66</w:t>
      </w: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>.</w:t>
      </w:r>
    </w:p>
    <w:p w14:paraId="53FE967C" w14:textId="77777777" w:rsidR="0021009F" w:rsidRPr="0021009F" w:rsidRDefault="0021009F" w:rsidP="0021009F">
      <w:pPr>
        <w:pStyle w:val="Sansinterligne"/>
        <w:ind w:left="284" w:hanging="284"/>
        <w:rPr>
          <w:rFonts w:eastAsia="Arial Unicode MS"/>
          <w:kern w:val="1"/>
          <w:sz w:val="22"/>
          <w:szCs w:val="22"/>
          <w:lang w:val="fr-FR" w:eastAsia="hi-IN" w:bidi="hi-IN"/>
        </w:rPr>
      </w:pP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>Blond-Rzewuski, O. (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>2025</w:t>
      </w:r>
      <w:r w:rsidRPr="0021009F">
        <w:rPr>
          <w:rFonts w:eastAsia="Arial Unicode MS"/>
          <w:kern w:val="1"/>
          <w:sz w:val="22"/>
          <w:szCs w:val="22"/>
          <w:lang w:val="fr-FR" w:eastAsia="hi-IN" w:bidi="hi-IN"/>
        </w:rPr>
        <w:t>).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 xml:space="preserve"> </w:t>
      </w:r>
      <w:r w:rsidRPr="0021009F">
        <w:rPr>
          <w:rFonts w:eastAsia="Arial Unicode MS"/>
          <w:i/>
          <w:iCs/>
          <w:kern w:val="1"/>
          <w:sz w:val="22"/>
          <w:szCs w:val="22"/>
          <w:lang w:val="fr-FR" w:eastAsia="hi-IN" w:bidi="hi-IN"/>
        </w:rPr>
        <w:t>L’enseignement de l’écriture philosophique au cycle 3 : enjeux et conditions de possibilité dans le cadre d’une recherche collaborative</w:t>
      </w:r>
      <w:r>
        <w:rPr>
          <w:rFonts w:eastAsia="Arial Unicode MS"/>
          <w:kern w:val="1"/>
          <w:sz w:val="22"/>
          <w:szCs w:val="22"/>
          <w:lang w:val="fr-FR" w:eastAsia="hi-IN" w:bidi="hi-IN"/>
        </w:rPr>
        <w:t>. [Thèse de doctorat, Nantes Université].</w:t>
      </w:r>
    </w:p>
    <w:p w14:paraId="5BF5DF71" w14:textId="77777777" w:rsidR="0021009F" w:rsidRPr="0021009F" w:rsidRDefault="0021009F" w:rsidP="0021009F">
      <w:p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Blond-Rzewuski, O. et Renard, C. (2023). La philosophie au service de l’enseignement - apprentissage de l’écriture et l’écriture au service de l’enseignement - apprentissage de la philosophie, au cycle 3. </w:t>
      </w:r>
      <w:r w:rsidRPr="0021009F">
        <w:rPr>
          <w:rFonts w:ascii="Times New Roman" w:eastAsia="Calibri" w:hAnsi="Times New Roman" w:cs="Times New Roman"/>
          <w:i/>
          <w:iCs/>
          <w:sz w:val="22"/>
          <w:szCs w:val="22"/>
        </w:rPr>
        <w:t>Repères, 67</w:t>
      </w:r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, 99-115. </w:t>
      </w:r>
      <w:hyperlink r:id="rId11" w:history="1">
        <w:r w:rsidRPr="0021009F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https://doi.org/10.4000/reperes.5741</w:t>
        </w:r>
      </w:hyperlink>
      <w:r w:rsidRPr="0021009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3B1379D3" w14:textId="7F770EC7" w:rsidR="009A089A" w:rsidRPr="0021009F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A089A" w:rsidRPr="0021009F" w:rsidSect="002100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276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CF1D" w14:textId="77777777" w:rsidR="00F37C02" w:rsidRDefault="00F37C02" w:rsidP="009A089A">
      <w:r>
        <w:separator/>
      </w:r>
    </w:p>
  </w:endnote>
  <w:endnote w:type="continuationSeparator" w:id="0">
    <w:p w14:paraId="0F10B4D0" w14:textId="77777777" w:rsidR="00F37C02" w:rsidRDefault="00F37C02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737E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5BA6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C51F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F27E" w14:textId="77777777" w:rsidR="00F37C02" w:rsidRDefault="00F37C02" w:rsidP="009A089A">
      <w:r>
        <w:separator/>
      </w:r>
    </w:p>
  </w:footnote>
  <w:footnote w:type="continuationSeparator" w:id="0">
    <w:p w14:paraId="1F38FCEC" w14:textId="77777777" w:rsidR="00F37C02" w:rsidRDefault="00F37C02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5141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A6C7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BE4E" w14:textId="77777777" w:rsidR="009A089A" w:rsidRDefault="009A08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21009F"/>
    <w:rsid w:val="00293D91"/>
    <w:rsid w:val="003D6485"/>
    <w:rsid w:val="005222B1"/>
    <w:rsid w:val="005E6B20"/>
    <w:rsid w:val="00791749"/>
    <w:rsid w:val="00862C52"/>
    <w:rsid w:val="00890096"/>
    <w:rsid w:val="00961927"/>
    <w:rsid w:val="009A089A"/>
    <w:rsid w:val="00A03FF9"/>
    <w:rsid w:val="00A07E4E"/>
    <w:rsid w:val="00A17405"/>
    <w:rsid w:val="00A81C78"/>
    <w:rsid w:val="00AF7268"/>
    <w:rsid w:val="00B55EBF"/>
    <w:rsid w:val="00C264F0"/>
    <w:rsid w:val="00E3542B"/>
    <w:rsid w:val="00E53D19"/>
    <w:rsid w:val="00E877F6"/>
    <w:rsid w:val="00EF09B7"/>
    <w:rsid w:val="00F37C02"/>
    <w:rsid w:val="00FC2831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1D735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character" w:styleId="Lienhypertexte">
    <w:name w:val="Hyperlink"/>
    <w:basedOn w:val="Policepardfaut"/>
    <w:uiPriority w:val="99"/>
    <w:unhideWhenUsed/>
    <w:rsid w:val="00E877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E877F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21009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reperes.574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v.hal.science/blond-rzewuski-olivie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4000/reperes.5741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oi.org/10.4000/edso.719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4000/ree.946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Olivier BLOND-RZEWUSKI</cp:lastModifiedBy>
  <cp:revision>3</cp:revision>
  <dcterms:created xsi:type="dcterms:W3CDTF">2025-10-09T07:56:00Z</dcterms:created>
  <dcterms:modified xsi:type="dcterms:W3CDTF">2025-10-09T10:09:00Z</dcterms:modified>
</cp:coreProperties>
</file>